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ADD1" w14:textId="77777777" w:rsidR="00B93A42" w:rsidRDefault="00B93A42" w:rsidP="00917F4E">
      <w:pPr>
        <w:rPr>
          <w:b/>
          <w:u w:val="single"/>
        </w:rPr>
      </w:pPr>
    </w:p>
    <w:p w14:paraId="42FBF1CF" w14:textId="77777777" w:rsidR="00537E4D" w:rsidRDefault="00537E4D" w:rsidP="00917F4E">
      <w:pPr>
        <w:pStyle w:val="Title"/>
        <w:spacing w:before="0"/>
        <w:rPr>
          <w:rFonts w:ascii="Arial" w:hAnsi="Arial" w:cs="Arial"/>
          <w:color w:val="002B7F"/>
          <w:sz w:val="36"/>
          <w:szCs w:val="36"/>
        </w:rPr>
      </w:pPr>
    </w:p>
    <w:p w14:paraId="56786598" w14:textId="77777777" w:rsidR="00537E4D" w:rsidRDefault="00537E4D" w:rsidP="00917F4E">
      <w:pPr>
        <w:pStyle w:val="Title"/>
        <w:spacing w:before="0"/>
        <w:rPr>
          <w:rFonts w:ascii="Arial" w:hAnsi="Arial" w:cs="Arial"/>
          <w:color w:val="002B7F"/>
          <w:sz w:val="36"/>
          <w:szCs w:val="36"/>
        </w:rPr>
      </w:pPr>
    </w:p>
    <w:p w14:paraId="63DE586D" w14:textId="77777777" w:rsidR="00A41401" w:rsidRPr="00917F4E" w:rsidRDefault="00D72786" w:rsidP="00917F4E">
      <w:pPr>
        <w:pStyle w:val="Title"/>
        <w:spacing w:before="0"/>
        <w:rPr>
          <w:rFonts w:ascii="Arial" w:hAnsi="Arial" w:cs="Arial"/>
          <w:color w:val="002B7F"/>
          <w:sz w:val="36"/>
          <w:szCs w:val="36"/>
        </w:rPr>
      </w:pPr>
      <w:r w:rsidRPr="00917F4E">
        <w:rPr>
          <w:rFonts w:ascii="Arial" w:hAnsi="Arial" w:cs="Arial"/>
          <w:color w:val="002B7F"/>
          <w:sz w:val="36"/>
          <w:szCs w:val="36"/>
        </w:rPr>
        <w:t xml:space="preserve">Case examples </w:t>
      </w:r>
      <w:r w:rsidR="00A41401" w:rsidRPr="00917F4E">
        <w:rPr>
          <w:rFonts w:ascii="Arial" w:hAnsi="Arial" w:cs="Arial"/>
          <w:color w:val="002B7F"/>
          <w:sz w:val="36"/>
          <w:szCs w:val="36"/>
        </w:rPr>
        <w:t xml:space="preserve">showing role of </w:t>
      </w:r>
      <w:r w:rsidR="00917F4E">
        <w:rPr>
          <w:rFonts w:ascii="Arial" w:hAnsi="Arial" w:cs="Arial"/>
          <w:color w:val="002B7F"/>
          <w:sz w:val="36"/>
          <w:szCs w:val="36"/>
        </w:rPr>
        <w:t xml:space="preserve">the </w:t>
      </w:r>
      <w:r w:rsidR="00A41401" w:rsidRPr="00917F4E">
        <w:rPr>
          <w:rFonts w:ascii="Arial" w:hAnsi="Arial" w:cs="Arial"/>
          <w:color w:val="002B7F"/>
          <w:sz w:val="36"/>
          <w:szCs w:val="36"/>
        </w:rPr>
        <w:t xml:space="preserve">Level 1 &amp; Level 2 </w:t>
      </w:r>
      <w:r w:rsidR="00924681">
        <w:rPr>
          <w:rFonts w:ascii="Arial" w:hAnsi="Arial" w:cs="Arial"/>
          <w:color w:val="002B7F"/>
          <w:sz w:val="36"/>
          <w:szCs w:val="36"/>
        </w:rPr>
        <w:t>Credentia</w:t>
      </w:r>
      <w:r w:rsidR="00B93A42" w:rsidRPr="00917F4E">
        <w:rPr>
          <w:rFonts w:ascii="Arial" w:hAnsi="Arial" w:cs="Arial"/>
          <w:color w:val="002B7F"/>
          <w:sz w:val="36"/>
          <w:szCs w:val="36"/>
        </w:rPr>
        <w:t>l</w:t>
      </w:r>
      <w:r w:rsidR="002B49E7" w:rsidRPr="00917F4E">
        <w:rPr>
          <w:rFonts w:ascii="Arial" w:hAnsi="Arial" w:cs="Arial"/>
          <w:color w:val="002B7F"/>
          <w:sz w:val="36"/>
          <w:szCs w:val="36"/>
        </w:rPr>
        <w:t xml:space="preserve">ed </w:t>
      </w:r>
      <w:r w:rsidR="00A41401" w:rsidRPr="00917F4E">
        <w:rPr>
          <w:rFonts w:ascii="Arial" w:hAnsi="Arial" w:cs="Arial"/>
          <w:color w:val="002B7F"/>
          <w:sz w:val="36"/>
          <w:szCs w:val="36"/>
        </w:rPr>
        <w:t>Wheele</w:t>
      </w:r>
      <w:r w:rsidR="007E238B">
        <w:rPr>
          <w:rFonts w:ascii="Arial" w:hAnsi="Arial" w:cs="Arial"/>
          <w:color w:val="002B7F"/>
          <w:sz w:val="36"/>
          <w:szCs w:val="36"/>
        </w:rPr>
        <w:t>d Mobility &amp; Postural Management</w:t>
      </w:r>
      <w:r w:rsidR="00A41401" w:rsidRPr="00917F4E">
        <w:rPr>
          <w:rFonts w:ascii="Arial" w:hAnsi="Arial" w:cs="Arial"/>
          <w:color w:val="002B7F"/>
          <w:sz w:val="36"/>
          <w:szCs w:val="36"/>
        </w:rPr>
        <w:t xml:space="preserve"> EMS As</w:t>
      </w:r>
      <w:r w:rsidR="00B93A42" w:rsidRPr="00917F4E">
        <w:rPr>
          <w:rFonts w:ascii="Arial" w:hAnsi="Arial" w:cs="Arial"/>
          <w:color w:val="002B7F"/>
          <w:sz w:val="36"/>
          <w:szCs w:val="36"/>
        </w:rPr>
        <w:t>sessor for school aged children</w:t>
      </w:r>
    </w:p>
    <w:p w14:paraId="63F33020" w14:textId="77777777" w:rsidR="00B93A42" w:rsidRDefault="00B93A42" w:rsidP="009C7BF0">
      <w:pPr>
        <w:jc w:val="center"/>
        <w:rPr>
          <w:b/>
          <w:u w:val="single"/>
        </w:rPr>
      </w:pPr>
    </w:p>
    <w:p w14:paraId="038A365D" w14:textId="77777777" w:rsidR="00F05F17" w:rsidRDefault="00A41401" w:rsidP="001378E3">
      <w:pPr>
        <w:jc w:val="both"/>
        <w:rPr>
          <w:sz w:val="20"/>
          <w:szCs w:val="20"/>
        </w:rPr>
      </w:pPr>
      <w:r w:rsidRPr="001378E3">
        <w:rPr>
          <w:sz w:val="20"/>
          <w:szCs w:val="20"/>
        </w:rPr>
        <w:t>Local</w:t>
      </w:r>
      <w:r w:rsidR="00116257">
        <w:rPr>
          <w:b/>
          <w:sz w:val="20"/>
          <w:szCs w:val="20"/>
        </w:rPr>
        <w:t xml:space="preserve"> </w:t>
      </w:r>
      <w:r w:rsidRPr="001378E3">
        <w:rPr>
          <w:sz w:val="20"/>
          <w:szCs w:val="20"/>
        </w:rPr>
        <w:t xml:space="preserve">Level Area Agreements between Health and Education services provide the detail around referrals and liaison with Wheeled Mobility &amp; Postural Management (Level 2) Assessment Services. </w:t>
      </w:r>
      <w:r w:rsidR="00E50C3B" w:rsidRPr="001378E3">
        <w:rPr>
          <w:sz w:val="20"/>
          <w:szCs w:val="20"/>
        </w:rPr>
        <w:t xml:space="preserve"> </w:t>
      </w:r>
      <w:r w:rsidRPr="001378E3">
        <w:rPr>
          <w:sz w:val="20"/>
          <w:szCs w:val="20"/>
        </w:rPr>
        <w:t>For the purp</w:t>
      </w:r>
      <w:r w:rsidR="00B93A42">
        <w:rPr>
          <w:sz w:val="20"/>
          <w:szCs w:val="20"/>
        </w:rPr>
        <w:t>oses of this document, Level 1 EMS A</w:t>
      </w:r>
      <w:r w:rsidRPr="001378E3">
        <w:rPr>
          <w:sz w:val="20"/>
          <w:szCs w:val="20"/>
        </w:rPr>
        <w:t xml:space="preserve">ssessor refers to </w:t>
      </w:r>
      <w:r w:rsidR="00B93A42">
        <w:rPr>
          <w:sz w:val="20"/>
          <w:szCs w:val="20"/>
        </w:rPr>
        <w:t>Ministry of Education</w:t>
      </w:r>
      <w:r w:rsidRPr="001378E3">
        <w:rPr>
          <w:sz w:val="20"/>
          <w:szCs w:val="20"/>
        </w:rPr>
        <w:t xml:space="preserve"> </w:t>
      </w:r>
      <w:r w:rsidR="00116257">
        <w:rPr>
          <w:sz w:val="20"/>
          <w:szCs w:val="20"/>
        </w:rPr>
        <w:t>S</w:t>
      </w:r>
      <w:r w:rsidR="00B93A42">
        <w:rPr>
          <w:sz w:val="20"/>
          <w:szCs w:val="20"/>
        </w:rPr>
        <w:t xml:space="preserve">pecial </w:t>
      </w:r>
      <w:r w:rsidR="00116257">
        <w:rPr>
          <w:sz w:val="20"/>
          <w:szCs w:val="20"/>
        </w:rPr>
        <w:t>E</w:t>
      </w:r>
      <w:r w:rsidR="00B93A42">
        <w:rPr>
          <w:sz w:val="20"/>
          <w:szCs w:val="20"/>
        </w:rPr>
        <w:t>ducation</w:t>
      </w:r>
      <w:r w:rsidR="00116257">
        <w:rPr>
          <w:sz w:val="20"/>
          <w:szCs w:val="20"/>
        </w:rPr>
        <w:t xml:space="preserve"> </w:t>
      </w:r>
      <w:r w:rsidRPr="001378E3">
        <w:rPr>
          <w:sz w:val="20"/>
          <w:szCs w:val="20"/>
        </w:rPr>
        <w:t xml:space="preserve">Occupational Therapist or </w:t>
      </w:r>
      <w:r w:rsidR="00B93A42">
        <w:rPr>
          <w:sz w:val="20"/>
          <w:szCs w:val="20"/>
        </w:rPr>
        <w:t>Physiotherapist with a Level 1 C</w:t>
      </w:r>
      <w:r w:rsidRPr="001378E3">
        <w:rPr>
          <w:sz w:val="20"/>
          <w:szCs w:val="20"/>
        </w:rPr>
        <w:t xml:space="preserve">redential in Wheeled Mobility &amp; Postural Management. </w:t>
      </w:r>
      <w:r w:rsidR="00B93A42">
        <w:rPr>
          <w:sz w:val="20"/>
          <w:szCs w:val="20"/>
        </w:rPr>
        <w:t xml:space="preserve">EMS </w:t>
      </w:r>
      <w:r w:rsidRPr="001378E3">
        <w:rPr>
          <w:sz w:val="20"/>
          <w:szCs w:val="20"/>
        </w:rPr>
        <w:t xml:space="preserve">Assessors who previously had Level 1 Seating or Level 2 Seating will have transitioned to the new Level 1 Wheeled </w:t>
      </w:r>
      <w:r w:rsidR="00B93A42">
        <w:rPr>
          <w:sz w:val="20"/>
          <w:szCs w:val="20"/>
        </w:rPr>
        <w:t>Mobility &amp; Postural Management C</w:t>
      </w:r>
      <w:r w:rsidRPr="001378E3">
        <w:rPr>
          <w:sz w:val="20"/>
          <w:szCs w:val="20"/>
        </w:rPr>
        <w:t>redential</w:t>
      </w:r>
      <w:r w:rsidR="001378E3" w:rsidRPr="001378E3">
        <w:rPr>
          <w:sz w:val="20"/>
          <w:szCs w:val="20"/>
        </w:rPr>
        <w:t xml:space="preserve">. Refer also to the full Wheeled Mobility and Postural Management Competency Framework </w:t>
      </w:r>
      <w:hyperlink r:id="rId10" w:history="1">
        <w:r w:rsidR="007E238B" w:rsidRPr="003D02A8">
          <w:rPr>
            <w:rStyle w:val="Hyperlink"/>
            <w:sz w:val="20"/>
            <w:szCs w:val="20"/>
          </w:rPr>
          <w:t>http://www.disabilityfunding.co.nz/__data/assets/pdf_file/0006/54681/Competency-Framework-Wheeled-Mobility-and-Postural-Management.pdf</w:t>
        </w:r>
      </w:hyperlink>
      <w:r w:rsidR="007E238B">
        <w:rPr>
          <w:sz w:val="20"/>
          <w:szCs w:val="20"/>
        </w:rPr>
        <w:t xml:space="preserve"> </w:t>
      </w:r>
    </w:p>
    <w:p w14:paraId="68542F20" w14:textId="77777777" w:rsidR="00D72786" w:rsidRPr="001378E3" w:rsidRDefault="00D72786" w:rsidP="001378E3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9"/>
        <w:gridCol w:w="6015"/>
        <w:gridCol w:w="4104"/>
      </w:tblGrid>
      <w:tr w:rsidR="004275A0" w:rsidRPr="00947125" w14:paraId="0133FF91" w14:textId="77777777" w:rsidTr="00917F4E">
        <w:trPr>
          <w:tblHeader/>
        </w:trPr>
        <w:tc>
          <w:tcPr>
            <w:tcW w:w="3888" w:type="dxa"/>
            <w:shd w:val="clear" w:color="auto" w:fill="BFBFBF"/>
          </w:tcPr>
          <w:p w14:paraId="00A0D850" w14:textId="77777777" w:rsidR="00441511" w:rsidRPr="00947125" w:rsidRDefault="00A41401" w:rsidP="00947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example 1</w:t>
            </w:r>
          </w:p>
        </w:tc>
        <w:tc>
          <w:tcPr>
            <w:tcW w:w="6120" w:type="dxa"/>
            <w:shd w:val="clear" w:color="auto" w:fill="BFBFBF"/>
          </w:tcPr>
          <w:p w14:paraId="359727F1" w14:textId="77777777" w:rsidR="004A6182" w:rsidRPr="00947125" w:rsidRDefault="002B49E7" w:rsidP="00A414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example 2</w:t>
            </w:r>
          </w:p>
        </w:tc>
        <w:tc>
          <w:tcPr>
            <w:tcW w:w="4166" w:type="dxa"/>
            <w:shd w:val="clear" w:color="auto" w:fill="BFBFBF"/>
          </w:tcPr>
          <w:p w14:paraId="02E408D8" w14:textId="77777777" w:rsidR="00441511" w:rsidRPr="00947125" w:rsidRDefault="002B49E7" w:rsidP="009471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Case example 3</w:t>
            </w:r>
            <w:r w:rsidR="00441511" w:rsidRPr="009471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275A0" w:rsidRPr="00947125" w14:paraId="13FB70D5" w14:textId="77777777" w:rsidTr="00917F4E">
        <w:tc>
          <w:tcPr>
            <w:tcW w:w="3888" w:type="dxa"/>
          </w:tcPr>
          <w:p w14:paraId="42E020E4" w14:textId="77777777" w:rsidR="004275A0" w:rsidRPr="00947125" w:rsidRDefault="004275A0" w:rsidP="00917F4E">
            <w:pPr>
              <w:spacing w:before="240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Student with global developmental delay with an intellectual disability</w:t>
            </w:r>
          </w:p>
          <w:p w14:paraId="2B5A92AE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4CB9EB5C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Student is using a walker for all mobility needs for short distances around a familiar environment (home or school classroom)</w:t>
            </w:r>
          </w:p>
          <w:p w14:paraId="13871393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Student requires a wheelchair for longer distances e.g. around </w:t>
            </w:r>
            <w:r w:rsidR="00E50C3B" w:rsidRPr="00947125">
              <w:rPr>
                <w:sz w:val="20"/>
                <w:szCs w:val="20"/>
              </w:rPr>
              <w:t xml:space="preserve">the larger </w:t>
            </w:r>
            <w:r w:rsidRPr="00947125">
              <w:rPr>
                <w:sz w:val="20"/>
                <w:szCs w:val="20"/>
              </w:rPr>
              <w:t>school environment and around shopping</w:t>
            </w:r>
            <w:r w:rsidR="00E50C3B" w:rsidRPr="00947125">
              <w:rPr>
                <w:sz w:val="20"/>
                <w:szCs w:val="20"/>
              </w:rPr>
              <w:t xml:space="preserve"> mall – unable to self propel du</w:t>
            </w:r>
            <w:r w:rsidRPr="00947125">
              <w:rPr>
                <w:sz w:val="20"/>
                <w:szCs w:val="20"/>
              </w:rPr>
              <w:t>e to intellectual disability– needs attendant operated chair.</w:t>
            </w:r>
          </w:p>
          <w:p w14:paraId="40069823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No postural deformities at present</w:t>
            </w:r>
          </w:p>
          <w:p w14:paraId="58075739" w14:textId="77777777" w:rsidR="004275A0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Standard cushion meets needs</w:t>
            </w:r>
          </w:p>
          <w:p w14:paraId="2CA9FDC0" w14:textId="77777777" w:rsidR="001378E3" w:rsidRDefault="001378E3" w:rsidP="001378E3">
            <w:pPr>
              <w:rPr>
                <w:sz w:val="20"/>
                <w:szCs w:val="20"/>
              </w:rPr>
            </w:pPr>
          </w:p>
          <w:p w14:paraId="107872A3" w14:textId="77777777" w:rsidR="00F319B1" w:rsidRPr="00947125" w:rsidRDefault="001378E3" w:rsidP="004275A0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Assessment may be completed by a </w:t>
            </w:r>
            <w:r>
              <w:rPr>
                <w:b/>
                <w:sz w:val="20"/>
                <w:szCs w:val="20"/>
              </w:rPr>
              <w:lastRenderedPageBreak/>
              <w:t xml:space="preserve">Level 1 Wheeled Mobility &amp; Postural Management </w:t>
            </w:r>
            <w:r w:rsidR="00B93A42">
              <w:rPr>
                <w:b/>
                <w:sz w:val="20"/>
                <w:szCs w:val="20"/>
              </w:rPr>
              <w:t xml:space="preserve">EMS </w:t>
            </w:r>
            <w:r>
              <w:rPr>
                <w:b/>
                <w:sz w:val="20"/>
                <w:szCs w:val="20"/>
              </w:rPr>
              <w:t>Assessor.</w:t>
            </w:r>
          </w:p>
          <w:p w14:paraId="77D2A06B" w14:textId="77777777" w:rsidR="00F319B1" w:rsidRPr="00947125" w:rsidRDefault="00F319B1" w:rsidP="004275A0">
            <w:pPr>
              <w:rPr>
                <w:b/>
                <w:sz w:val="20"/>
                <w:szCs w:val="20"/>
                <w:u w:val="single"/>
              </w:rPr>
            </w:pPr>
          </w:p>
          <w:p w14:paraId="66611477" w14:textId="77777777" w:rsidR="004275A0" w:rsidRPr="00947125" w:rsidRDefault="004275A0" w:rsidP="004275A0">
            <w:pPr>
              <w:rPr>
                <w:b/>
                <w:sz w:val="20"/>
                <w:szCs w:val="20"/>
                <w:u w:val="single"/>
              </w:rPr>
            </w:pPr>
            <w:r w:rsidRPr="00947125">
              <w:rPr>
                <w:b/>
                <w:sz w:val="20"/>
                <w:szCs w:val="20"/>
                <w:u w:val="single"/>
              </w:rPr>
              <w:t>Reassessment of needs and “tweaking” to meet changing needs:</w:t>
            </w:r>
          </w:p>
          <w:p w14:paraId="355B1324" w14:textId="77777777" w:rsidR="004275A0" w:rsidRPr="00947125" w:rsidRDefault="004275A0" w:rsidP="004275A0">
            <w:pPr>
              <w:rPr>
                <w:b/>
                <w:sz w:val="20"/>
                <w:szCs w:val="20"/>
              </w:rPr>
            </w:pPr>
          </w:p>
          <w:p w14:paraId="01FA13DD" w14:textId="77777777" w:rsidR="00B93A42" w:rsidRPr="00917F4E" w:rsidRDefault="004275A0" w:rsidP="00B93A42">
            <w:pPr>
              <w:spacing w:after="240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Completed by </w:t>
            </w:r>
            <w:r w:rsidR="00B93A42">
              <w:rPr>
                <w:sz w:val="20"/>
                <w:szCs w:val="20"/>
              </w:rPr>
              <w:t>Ministry of Education</w:t>
            </w:r>
            <w:r w:rsidR="00B93A42" w:rsidRPr="001378E3">
              <w:rPr>
                <w:sz w:val="20"/>
                <w:szCs w:val="20"/>
              </w:rPr>
              <w:t xml:space="preserve"> </w:t>
            </w:r>
            <w:r w:rsidR="00B93A42">
              <w:rPr>
                <w:sz w:val="20"/>
                <w:szCs w:val="20"/>
              </w:rPr>
              <w:t xml:space="preserve">Special Education EMS Assessor; </w:t>
            </w:r>
            <w:r w:rsidRPr="00947125">
              <w:rPr>
                <w:b/>
                <w:sz w:val="20"/>
                <w:szCs w:val="20"/>
              </w:rPr>
              <w:t xml:space="preserve">OR </w:t>
            </w:r>
          </w:p>
          <w:p w14:paraId="71D8B935" w14:textId="77777777" w:rsidR="004275A0" w:rsidRPr="00947125" w:rsidRDefault="00B93A42" w:rsidP="0011625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275A0" w:rsidRPr="00947125">
              <w:rPr>
                <w:sz w:val="20"/>
                <w:szCs w:val="20"/>
              </w:rPr>
              <w:t xml:space="preserve">efer to </w:t>
            </w:r>
            <w:r w:rsidR="00116257">
              <w:rPr>
                <w:sz w:val="20"/>
                <w:szCs w:val="20"/>
              </w:rPr>
              <w:t>Enable</w:t>
            </w:r>
            <w:r>
              <w:rPr>
                <w:sz w:val="20"/>
                <w:szCs w:val="20"/>
              </w:rPr>
              <w:t xml:space="preserve"> New Zealand</w:t>
            </w:r>
            <w:r w:rsidR="00116257">
              <w:rPr>
                <w:sz w:val="20"/>
                <w:szCs w:val="20"/>
              </w:rPr>
              <w:t xml:space="preserve"> / Accessable contracted technician services</w:t>
            </w:r>
            <w:r w:rsidR="004275A0" w:rsidRPr="00947125">
              <w:rPr>
                <w:sz w:val="20"/>
                <w:szCs w:val="20"/>
              </w:rPr>
              <w:t xml:space="preserve"> for support.</w:t>
            </w:r>
          </w:p>
        </w:tc>
        <w:tc>
          <w:tcPr>
            <w:tcW w:w="6120" w:type="dxa"/>
          </w:tcPr>
          <w:p w14:paraId="224621BD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77892766" w14:textId="77777777" w:rsidR="004275A0" w:rsidRPr="00947125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Student with cerebral palsy</w:t>
            </w:r>
          </w:p>
          <w:p w14:paraId="63B968CB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5AF60D95" w14:textId="77777777" w:rsidR="004275A0" w:rsidRPr="002B49E7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2B49E7">
              <w:rPr>
                <w:sz w:val="20"/>
                <w:szCs w:val="20"/>
              </w:rPr>
              <w:t>Postu</w:t>
            </w:r>
            <w:r w:rsidR="002B49E7" w:rsidRPr="002B49E7">
              <w:rPr>
                <w:sz w:val="20"/>
                <w:szCs w:val="20"/>
              </w:rPr>
              <w:t>ral</w:t>
            </w:r>
            <w:r w:rsidR="002B49E7">
              <w:rPr>
                <w:sz w:val="20"/>
                <w:szCs w:val="20"/>
              </w:rPr>
              <w:t xml:space="preserve"> a</w:t>
            </w:r>
            <w:r w:rsidRPr="002B49E7">
              <w:rPr>
                <w:sz w:val="20"/>
                <w:szCs w:val="20"/>
              </w:rPr>
              <w:t>symmetry with potent</w:t>
            </w:r>
            <w:r w:rsidR="00E50C3B" w:rsidRPr="002B49E7">
              <w:rPr>
                <w:sz w:val="20"/>
                <w:szCs w:val="20"/>
              </w:rPr>
              <w:t xml:space="preserve">ial </w:t>
            </w:r>
            <w:r w:rsidRPr="002B49E7">
              <w:rPr>
                <w:sz w:val="20"/>
                <w:szCs w:val="20"/>
              </w:rPr>
              <w:t>risk</w:t>
            </w:r>
            <w:r w:rsidR="00E50C3B" w:rsidRPr="002B49E7">
              <w:rPr>
                <w:sz w:val="20"/>
                <w:szCs w:val="20"/>
              </w:rPr>
              <w:t xml:space="preserve"> of developing contractures and/or </w:t>
            </w:r>
            <w:r w:rsidRPr="002B49E7">
              <w:rPr>
                <w:sz w:val="20"/>
                <w:szCs w:val="20"/>
              </w:rPr>
              <w:t xml:space="preserve">postural/spinal deterioration </w:t>
            </w:r>
          </w:p>
          <w:p w14:paraId="2C74052A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Student able to mobilise independently with a walker for short distances around a familiar environment (home or school classroom)</w:t>
            </w:r>
          </w:p>
          <w:p w14:paraId="79F6F5A5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For larger distances, student  requires a self propelling wheelchair e.g. around school environment and around shopping mall</w:t>
            </w:r>
          </w:p>
          <w:p w14:paraId="123AAF88" w14:textId="77777777" w:rsidR="004275A0" w:rsidRPr="00B93A42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2B49E7">
              <w:rPr>
                <w:sz w:val="20"/>
                <w:szCs w:val="20"/>
              </w:rPr>
              <w:t xml:space="preserve">Needs </w:t>
            </w:r>
            <w:r w:rsidR="002B49E7" w:rsidRPr="002B49E7">
              <w:rPr>
                <w:sz w:val="20"/>
                <w:szCs w:val="20"/>
              </w:rPr>
              <w:t>readily available cushion and backrest</w:t>
            </w:r>
          </w:p>
          <w:p w14:paraId="706CC028" w14:textId="77777777" w:rsidR="00ED6CEC" w:rsidRPr="00947125" w:rsidRDefault="00ED6CEC" w:rsidP="004275A0">
            <w:pPr>
              <w:rPr>
                <w:b/>
                <w:sz w:val="20"/>
                <w:szCs w:val="20"/>
                <w:u w:val="single"/>
              </w:rPr>
            </w:pPr>
          </w:p>
          <w:p w14:paraId="1714B0E0" w14:textId="77777777" w:rsidR="004275A0" w:rsidRPr="001378E3" w:rsidRDefault="001378E3" w:rsidP="004275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Assessment may be completed by a Level 1 </w:t>
            </w:r>
            <w:r w:rsidR="00B93A42">
              <w:rPr>
                <w:b/>
                <w:sz w:val="20"/>
                <w:szCs w:val="20"/>
              </w:rPr>
              <w:t>EMS A</w:t>
            </w:r>
            <w:r>
              <w:rPr>
                <w:b/>
                <w:sz w:val="20"/>
                <w:szCs w:val="20"/>
              </w:rPr>
              <w:t xml:space="preserve">ssessor if the student  can self-propel a  standard manual wheelchair </w:t>
            </w:r>
            <w:r w:rsidRPr="001378E3">
              <w:rPr>
                <w:b/>
                <w:sz w:val="20"/>
                <w:szCs w:val="20"/>
              </w:rPr>
              <w:t>and be adequately supported with</w:t>
            </w:r>
            <w:r>
              <w:rPr>
                <w:b/>
                <w:sz w:val="20"/>
                <w:szCs w:val="20"/>
              </w:rPr>
              <w:t xml:space="preserve"> a backrest with generalised laterals supports</w:t>
            </w:r>
          </w:p>
          <w:p w14:paraId="0FD23C0C" w14:textId="77777777" w:rsidR="00B93A42" w:rsidRDefault="00B93A42" w:rsidP="004275A0">
            <w:pPr>
              <w:rPr>
                <w:b/>
                <w:sz w:val="20"/>
                <w:szCs w:val="20"/>
              </w:rPr>
            </w:pPr>
          </w:p>
          <w:p w14:paraId="0F565475" w14:textId="77777777" w:rsidR="004275A0" w:rsidRPr="00947125" w:rsidRDefault="004275A0" w:rsidP="004275A0">
            <w:pPr>
              <w:rPr>
                <w:b/>
                <w:sz w:val="20"/>
                <w:szCs w:val="20"/>
              </w:rPr>
            </w:pPr>
            <w:r w:rsidRPr="00947125">
              <w:rPr>
                <w:b/>
                <w:sz w:val="20"/>
                <w:szCs w:val="20"/>
              </w:rPr>
              <w:t xml:space="preserve">Application for wheelchair is completed by the </w:t>
            </w:r>
            <w:r w:rsidR="00B93A42" w:rsidRPr="00B93A42">
              <w:rPr>
                <w:b/>
                <w:sz w:val="20"/>
                <w:szCs w:val="20"/>
              </w:rPr>
              <w:t xml:space="preserve">Ministry of </w:t>
            </w:r>
            <w:r w:rsidR="00B93A42" w:rsidRPr="00B93A42">
              <w:rPr>
                <w:b/>
                <w:sz w:val="20"/>
                <w:szCs w:val="20"/>
              </w:rPr>
              <w:lastRenderedPageBreak/>
              <w:t xml:space="preserve">Education Special Education EMS Assessor </w:t>
            </w:r>
            <w:r w:rsidRPr="00947125">
              <w:rPr>
                <w:b/>
                <w:sz w:val="20"/>
                <w:szCs w:val="20"/>
              </w:rPr>
              <w:t>as follows:</w:t>
            </w:r>
          </w:p>
          <w:p w14:paraId="7DF2B38A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62DEA752" w14:textId="77777777" w:rsidR="004275A0" w:rsidRPr="00917F4E" w:rsidRDefault="004275A0" w:rsidP="004275A0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2B49E7">
              <w:rPr>
                <w:sz w:val="20"/>
                <w:szCs w:val="20"/>
              </w:rPr>
              <w:t>Independently complete the assessment, trial and application for the wheelchair/seating for the student, following discussion with local hea</w:t>
            </w:r>
            <w:r w:rsidR="00B93A42">
              <w:rPr>
                <w:sz w:val="20"/>
                <w:szCs w:val="20"/>
              </w:rPr>
              <w:t>lth team Child Development Team and family whanau</w:t>
            </w:r>
            <w:r w:rsidR="00917F4E">
              <w:rPr>
                <w:sz w:val="20"/>
                <w:szCs w:val="20"/>
              </w:rPr>
              <w:t xml:space="preserve">; </w:t>
            </w:r>
            <w:r w:rsidRPr="00917F4E">
              <w:rPr>
                <w:b/>
                <w:sz w:val="20"/>
                <w:szCs w:val="20"/>
              </w:rPr>
              <w:t>OR</w:t>
            </w:r>
          </w:p>
          <w:p w14:paraId="12C5EE1A" w14:textId="77777777" w:rsidR="00B93A42" w:rsidRDefault="00B93A42" w:rsidP="00B93A42">
            <w:pPr>
              <w:ind w:left="346"/>
              <w:rPr>
                <w:sz w:val="20"/>
                <w:szCs w:val="20"/>
              </w:rPr>
            </w:pPr>
          </w:p>
          <w:p w14:paraId="4E4C11D8" w14:textId="77777777" w:rsidR="00B93A42" w:rsidRPr="00917F4E" w:rsidRDefault="00E50C3B" w:rsidP="002B49E7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Refer to local Access</w:t>
            </w:r>
            <w:r w:rsidR="004275A0" w:rsidRPr="00947125">
              <w:rPr>
                <w:sz w:val="20"/>
                <w:szCs w:val="20"/>
              </w:rPr>
              <w:t>a</w:t>
            </w:r>
            <w:r w:rsidRPr="00947125">
              <w:rPr>
                <w:sz w:val="20"/>
                <w:szCs w:val="20"/>
              </w:rPr>
              <w:t>b</w:t>
            </w:r>
            <w:r w:rsidR="0003177F" w:rsidRPr="00947125">
              <w:rPr>
                <w:sz w:val="20"/>
                <w:szCs w:val="20"/>
              </w:rPr>
              <w:t xml:space="preserve">le/Enable </w:t>
            </w:r>
            <w:r w:rsidR="00B93A42">
              <w:rPr>
                <w:sz w:val="20"/>
                <w:szCs w:val="20"/>
              </w:rPr>
              <w:t xml:space="preserve">New Zealand </w:t>
            </w:r>
            <w:r w:rsidR="0003177F" w:rsidRPr="00947125">
              <w:rPr>
                <w:sz w:val="20"/>
                <w:szCs w:val="20"/>
              </w:rPr>
              <w:t xml:space="preserve">Outreach </w:t>
            </w:r>
            <w:r w:rsidR="004275A0" w:rsidRPr="00947125">
              <w:rPr>
                <w:sz w:val="20"/>
                <w:szCs w:val="20"/>
              </w:rPr>
              <w:t xml:space="preserve">clinic </w:t>
            </w:r>
            <w:r w:rsidR="002B49E7">
              <w:rPr>
                <w:sz w:val="20"/>
                <w:szCs w:val="20"/>
              </w:rPr>
              <w:t xml:space="preserve">(in regions where this service is available) </w:t>
            </w:r>
            <w:r w:rsidR="004275A0" w:rsidRPr="00947125">
              <w:rPr>
                <w:sz w:val="20"/>
                <w:szCs w:val="20"/>
              </w:rPr>
              <w:t>– collaborative assessment of child with Accessable</w:t>
            </w:r>
            <w:r w:rsidR="0003177F" w:rsidRPr="00947125">
              <w:rPr>
                <w:sz w:val="20"/>
                <w:szCs w:val="20"/>
              </w:rPr>
              <w:t>/Enable</w:t>
            </w:r>
            <w:r w:rsidR="00B93A42">
              <w:rPr>
                <w:sz w:val="20"/>
                <w:szCs w:val="20"/>
              </w:rPr>
              <w:t xml:space="preserve"> New Zealand</w:t>
            </w:r>
            <w:r w:rsidR="004275A0" w:rsidRPr="00947125">
              <w:rPr>
                <w:sz w:val="20"/>
                <w:szCs w:val="20"/>
              </w:rPr>
              <w:t xml:space="preserve"> Pr</w:t>
            </w:r>
            <w:r w:rsidR="002B49E7">
              <w:rPr>
                <w:sz w:val="20"/>
                <w:szCs w:val="20"/>
              </w:rPr>
              <w:t>ofessional</w:t>
            </w:r>
            <w:r w:rsidR="004275A0" w:rsidRPr="00947125">
              <w:rPr>
                <w:sz w:val="20"/>
                <w:szCs w:val="20"/>
              </w:rPr>
              <w:t xml:space="preserve"> Advisor and explore all options/trial equipment. Principal application </w:t>
            </w:r>
            <w:r w:rsidR="00C228FF" w:rsidRPr="00947125">
              <w:rPr>
                <w:sz w:val="20"/>
                <w:szCs w:val="20"/>
              </w:rPr>
              <w:t xml:space="preserve">completed by </w:t>
            </w:r>
            <w:r w:rsidR="00B93A42">
              <w:rPr>
                <w:sz w:val="20"/>
                <w:szCs w:val="20"/>
              </w:rPr>
              <w:t>Ministry of Education</w:t>
            </w:r>
            <w:r w:rsidR="00B93A42" w:rsidRPr="001378E3">
              <w:rPr>
                <w:sz w:val="20"/>
                <w:szCs w:val="20"/>
              </w:rPr>
              <w:t xml:space="preserve"> </w:t>
            </w:r>
            <w:r w:rsidR="00B93A42">
              <w:rPr>
                <w:sz w:val="20"/>
                <w:szCs w:val="20"/>
              </w:rPr>
              <w:t>Special Education EMS Assessor</w:t>
            </w:r>
            <w:r w:rsidR="004275A0" w:rsidRPr="00947125">
              <w:rPr>
                <w:sz w:val="20"/>
                <w:szCs w:val="20"/>
              </w:rPr>
              <w:t xml:space="preserve"> but Accessable</w:t>
            </w:r>
            <w:r w:rsidR="0003177F" w:rsidRPr="00947125">
              <w:rPr>
                <w:sz w:val="20"/>
                <w:szCs w:val="20"/>
              </w:rPr>
              <w:t xml:space="preserve">/Enable </w:t>
            </w:r>
            <w:r w:rsidR="00B93A42">
              <w:rPr>
                <w:sz w:val="20"/>
                <w:szCs w:val="20"/>
              </w:rPr>
              <w:t xml:space="preserve">New Zealand </w:t>
            </w:r>
            <w:r w:rsidR="0003177F" w:rsidRPr="00947125">
              <w:rPr>
                <w:sz w:val="20"/>
                <w:szCs w:val="20"/>
              </w:rPr>
              <w:t>provide</w:t>
            </w:r>
            <w:r w:rsidR="004275A0" w:rsidRPr="00947125">
              <w:rPr>
                <w:sz w:val="20"/>
                <w:szCs w:val="20"/>
              </w:rPr>
              <w:t xml:space="preserve"> support </w:t>
            </w:r>
            <w:r w:rsidR="0003177F" w:rsidRPr="00947125">
              <w:rPr>
                <w:sz w:val="20"/>
                <w:szCs w:val="20"/>
              </w:rPr>
              <w:t>throughout</w:t>
            </w:r>
            <w:r w:rsidR="004275A0" w:rsidRPr="00947125">
              <w:rPr>
                <w:sz w:val="20"/>
                <w:szCs w:val="20"/>
              </w:rPr>
              <w:t xml:space="preserve"> the process.</w:t>
            </w:r>
            <w:r w:rsidR="00917F4E">
              <w:rPr>
                <w:b/>
                <w:sz w:val="20"/>
                <w:szCs w:val="20"/>
              </w:rPr>
              <w:t>; O</w:t>
            </w:r>
            <w:r w:rsidR="002B49E7" w:rsidRPr="00917F4E">
              <w:rPr>
                <w:b/>
                <w:sz w:val="20"/>
                <w:szCs w:val="20"/>
              </w:rPr>
              <w:t>R</w:t>
            </w:r>
          </w:p>
          <w:p w14:paraId="5755605D" w14:textId="77777777" w:rsidR="00B93A42" w:rsidRPr="002B49E7" w:rsidRDefault="00B93A42" w:rsidP="002B49E7">
            <w:pPr>
              <w:rPr>
                <w:b/>
                <w:sz w:val="20"/>
                <w:szCs w:val="20"/>
              </w:rPr>
            </w:pPr>
          </w:p>
          <w:p w14:paraId="015EA1E9" w14:textId="77777777" w:rsidR="002B49E7" w:rsidRPr="00116257" w:rsidRDefault="002B49E7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student’s needs with Level 2 assessment service if there are concerns that the child’s needs may not be met with a standard manual wheelchair and back support with generalised laterals</w:t>
            </w:r>
            <w:r w:rsidR="00116257">
              <w:rPr>
                <w:sz w:val="20"/>
                <w:szCs w:val="20"/>
              </w:rPr>
              <w:t xml:space="preserve"> - this may result in a referral to a Level 2 assessment service.</w:t>
            </w:r>
          </w:p>
          <w:p w14:paraId="26761E1F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1C6E40C4" w14:textId="77777777" w:rsidR="004275A0" w:rsidRPr="00947125" w:rsidRDefault="004275A0" w:rsidP="004275A0">
            <w:pPr>
              <w:rPr>
                <w:b/>
                <w:sz w:val="20"/>
                <w:szCs w:val="20"/>
                <w:u w:val="single"/>
              </w:rPr>
            </w:pPr>
            <w:r w:rsidRPr="00947125">
              <w:rPr>
                <w:b/>
                <w:sz w:val="20"/>
                <w:szCs w:val="20"/>
                <w:u w:val="single"/>
              </w:rPr>
              <w:t>Reassessment of needs and “tweaking” to meet changing needs:</w:t>
            </w:r>
          </w:p>
          <w:p w14:paraId="4CB75257" w14:textId="77777777" w:rsidR="004275A0" w:rsidRPr="00947125" w:rsidRDefault="004275A0" w:rsidP="004275A0">
            <w:pPr>
              <w:rPr>
                <w:sz w:val="20"/>
                <w:szCs w:val="20"/>
                <w:u w:val="single"/>
              </w:rPr>
            </w:pPr>
          </w:p>
          <w:p w14:paraId="2FDEBF77" w14:textId="77777777" w:rsidR="00B93A42" w:rsidRPr="00917F4E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Completed by </w:t>
            </w:r>
            <w:r w:rsidR="00B93A42">
              <w:rPr>
                <w:sz w:val="20"/>
                <w:szCs w:val="20"/>
              </w:rPr>
              <w:t>Ministry of Education</w:t>
            </w:r>
            <w:r w:rsidR="00B93A42" w:rsidRPr="001378E3">
              <w:rPr>
                <w:sz w:val="20"/>
                <w:szCs w:val="20"/>
              </w:rPr>
              <w:t xml:space="preserve"> </w:t>
            </w:r>
            <w:r w:rsidR="00B93A42">
              <w:rPr>
                <w:sz w:val="20"/>
                <w:szCs w:val="20"/>
              </w:rPr>
              <w:t>Special Education EMS Assessor;</w:t>
            </w:r>
            <w:r w:rsidR="00917F4E">
              <w:rPr>
                <w:sz w:val="20"/>
                <w:szCs w:val="20"/>
              </w:rPr>
              <w:t xml:space="preserve"> </w:t>
            </w:r>
            <w:r w:rsidRPr="00947125">
              <w:rPr>
                <w:b/>
                <w:sz w:val="20"/>
                <w:szCs w:val="20"/>
              </w:rPr>
              <w:t xml:space="preserve">OR </w:t>
            </w:r>
          </w:p>
          <w:p w14:paraId="0F6410F3" w14:textId="77777777" w:rsidR="00B93A42" w:rsidRDefault="00B93A42" w:rsidP="004275A0">
            <w:pPr>
              <w:rPr>
                <w:b/>
                <w:sz w:val="20"/>
                <w:szCs w:val="20"/>
              </w:rPr>
            </w:pPr>
          </w:p>
          <w:p w14:paraId="0CEAF027" w14:textId="77777777" w:rsidR="00B93A42" w:rsidRPr="00917F4E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Refer</w:t>
            </w:r>
            <w:r w:rsidR="00D5342A">
              <w:rPr>
                <w:sz w:val="20"/>
                <w:szCs w:val="20"/>
              </w:rPr>
              <w:t>ral</w:t>
            </w:r>
            <w:r w:rsidRPr="00947125">
              <w:rPr>
                <w:sz w:val="20"/>
                <w:szCs w:val="20"/>
              </w:rPr>
              <w:t xml:space="preserve"> to </w:t>
            </w:r>
            <w:r w:rsidR="005668CC">
              <w:rPr>
                <w:sz w:val="20"/>
                <w:szCs w:val="20"/>
              </w:rPr>
              <w:t xml:space="preserve">Enable </w:t>
            </w:r>
            <w:r w:rsidR="00B03FB0">
              <w:rPr>
                <w:sz w:val="20"/>
                <w:szCs w:val="20"/>
              </w:rPr>
              <w:t xml:space="preserve"> New Zealand </w:t>
            </w:r>
            <w:r w:rsidR="005668CC">
              <w:rPr>
                <w:sz w:val="20"/>
                <w:szCs w:val="20"/>
              </w:rPr>
              <w:t>/ Accessable contracted technician services</w:t>
            </w:r>
            <w:r w:rsidRPr="00947125">
              <w:rPr>
                <w:sz w:val="20"/>
                <w:szCs w:val="20"/>
              </w:rPr>
              <w:t xml:space="preserve"> for support</w:t>
            </w:r>
            <w:r w:rsidR="00917F4E">
              <w:rPr>
                <w:sz w:val="20"/>
                <w:szCs w:val="20"/>
              </w:rPr>
              <w:t xml:space="preserve">; </w:t>
            </w:r>
            <w:r w:rsidRPr="00947125">
              <w:rPr>
                <w:b/>
                <w:sz w:val="20"/>
                <w:szCs w:val="20"/>
              </w:rPr>
              <w:t xml:space="preserve">OR </w:t>
            </w:r>
          </w:p>
          <w:p w14:paraId="2C0BD2A6" w14:textId="77777777" w:rsidR="00B93A42" w:rsidRDefault="00B93A42" w:rsidP="004275A0">
            <w:pPr>
              <w:rPr>
                <w:b/>
                <w:sz w:val="20"/>
                <w:szCs w:val="20"/>
              </w:rPr>
            </w:pPr>
          </w:p>
          <w:p w14:paraId="5C9CF2E9" w14:textId="77777777" w:rsidR="00B93A42" w:rsidRPr="00917F4E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Referral back to Accessable</w:t>
            </w:r>
            <w:r w:rsidR="0003177F" w:rsidRPr="00947125">
              <w:rPr>
                <w:sz w:val="20"/>
                <w:szCs w:val="20"/>
              </w:rPr>
              <w:t>/Enable</w:t>
            </w:r>
            <w:r w:rsidR="00B93A42">
              <w:rPr>
                <w:sz w:val="20"/>
                <w:szCs w:val="20"/>
              </w:rPr>
              <w:t xml:space="preserve"> New Zealand</w:t>
            </w:r>
            <w:r w:rsidRPr="00947125">
              <w:rPr>
                <w:sz w:val="20"/>
                <w:szCs w:val="20"/>
              </w:rPr>
              <w:t xml:space="preserve"> Clinic</w:t>
            </w:r>
            <w:r w:rsidR="00917F4E">
              <w:rPr>
                <w:sz w:val="20"/>
                <w:szCs w:val="20"/>
              </w:rPr>
              <w:t xml:space="preserve">; </w:t>
            </w:r>
            <w:r w:rsidR="00116257">
              <w:rPr>
                <w:b/>
                <w:sz w:val="20"/>
                <w:szCs w:val="20"/>
              </w:rPr>
              <w:t xml:space="preserve">OR </w:t>
            </w:r>
          </w:p>
          <w:p w14:paraId="0C1FAEDD" w14:textId="77777777" w:rsidR="00B93A42" w:rsidRDefault="00B93A42" w:rsidP="004275A0">
            <w:pPr>
              <w:rPr>
                <w:b/>
                <w:sz w:val="20"/>
                <w:szCs w:val="20"/>
              </w:rPr>
            </w:pPr>
          </w:p>
          <w:p w14:paraId="3683FC13" w14:textId="77777777" w:rsidR="00116257" w:rsidRPr="00116257" w:rsidRDefault="00116257" w:rsidP="00427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per case example 3 if referral to Level 2 assessor was considered appropriate</w:t>
            </w:r>
          </w:p>
        </w:tc>
        <w:tc>
          <w:tcPr>
            <w:tcW w:w="4166" w:type="dxa"/>
          </w:tcPr>
          <w:p w14:paraId="006A29B1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03CE150A" w14:textId="77777777" w:rsidR="004275A0" w:rsidRPr="00947125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Student with spina bifida</w:t>
            </w:r>
          </w:p>
          <w:p w14:paraId="1409DAC8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591AE7D4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Significant postural needs due to asymmetry, lower limb muscular contractures. Impact of severe scarring at spina bifida lesion on spinal posture. </w:t>
            </w:r>
          </w:p>
          <w:p w14:paraId="783CA149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High risk of skin break down</w:t>
            </w:r>
          </w:p>
          <w:p w14:paraId="490467CD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High risk of poor lower limb circulation</w:t>
            </w:r>
          </w:p>
          <w:p w14:paraId="490F0E18" w14:textId="77777777" w:rsidR="004275A0" w:rsidRPr="00947125" w:rsidRDefault="004275A0" w:rsidP="00B93A42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Totally dependant on self propelling wheelchair</w:t>
            </w:r>
            <w:r w:rsidR="00116257">
              <w:rPr>
                <w:sz w:val="20"/>
                <w:szCs w:val="20"/>
              </w:rPr>
              <w:t xml:space="preserve"> for all mobility</w:t>
            </w:r>
          </w:p>
          <w:p w14:paraId="619C9AC3" w14:textId="77777777" w:rsidR="004275A0" w:rsidRPr="00917F4E" w:rsidRDefault="004275A0" w:rsidP="004275A0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Needs customised seating</w:t>
            </w:r>
            <w:r w:rsidR="00917F4E">
              <w:rPr>
                <w:sz w:val="20"/>
                <w:szCs w:val="20"/>
              </w:rPr>
              <w:t xml:space="preserve">; </w:t>
            </w:r>
            <w:r w:rsidRPr="00917F4E">
              <w:rPr>
                <w:b/>
                <w:sz w:val="20"/>
                <w:szCs w:val="20"/>
              </w:rPr>
              <w:t>OR</w:t>
            </w:r>
          </w:p>
          <w:p w14:paraId="4FEA2832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6514DB95" w14:textId="77777777" w:rsidR="004275A0" w:rsidRPr="00947125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Student with severe physical disability with rapidly deteriorating and changing needs</w:t>
            </w:r>
          </w:p>
          <w:p w14:paraId="6C38BFAA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  <w:p w14:paraId="581DC31C" w14:textId="77777777" w:rsidR="004275A0" w:rsidRDefault="004275A0" w:rsidP="004275A0">
            <w:pPr>
              <w:rPr>
                <w:b/>
                <w:sz w:val="20"/>
                <w:szCs w:val="20"/>
                <w:u w:val="single"/>
              </w:rPr>
            </w:pPr>
            <w:r w:rsidRPr="00947125">
              <w:rPr>
                <w:b/>
                <w:sz w:val="20"/>
                <w:szCs w:val="20"/>
                <w:u w:val="single"/>
              </w:rPr>
              <w:t xml:space="preserve">Action of </w:t>
            </w:r>
            <w:r w:rsidR="00B93A42" w:rsidRPr="00B93A42">
              <w:rPr>
                <w:b/>
                <w:sz w:val="20"/>
                <w:szCs w:val="20"/>
                <w:u w:val="single"/>
              </w:rPr>
              <w:t>Ministry of Education Special Education EMS Assessor</w:t>
            </w:r>
            <w:r w:rsidRPr="00947125">
              <w:rPr>
                <w:b/>
                <w:sz w:val="20"/>
                <w:szCs w:val="20"/>
                <w:u w:val="single"/>
              </w:rPr>
              <w:t>:</w:t>
            </w:r>
          </w:p>
          <w:p w14:paraId="08D2E7CF" w14:textId="77777777" w:rsidR="00B93A42" w:rsidRPr="00947125" w:rsidRDefault="00B93A42" w:rsidP="004275A0">
            <w:pPr>
              <w:rPr>
                <w:b/>
                <w:sz w:val="20"/>
                <w:szCs w:val="20"/>
                <w:u w:val="single"/>
              </w:rPr>
            </w:pPr>
          </w:p>
          <w:p w14:paraId="1E13B37D" w14:textId="77777777" w:rsidR="004275A0" w:rsidRDefault="004275A0" w:rsidP="004275A0">
            <w:pPr>
              <w:rPr>
                <w:b/>
                <w:sz w:val="20"/>
                <w:szCs w:val="20"/>
              </w:rPr>
            </w:pPr>
            <w:r w:rsidRPr="00947125">
              <w:rPr>
                <w:b/>
                <w:sz w:val="20"/>
                <w:szCs w:val="20"/>
              </w:rPr>
              <w:lastRenderedPageBreak/>
              <w:t xml:space="preserve">Application for the wheelchair and seating needs is completed by </w:t>
            </w:r>
            <w:r w:rsidR="003F14F5" w:rsidRPr="00947125">
              <w:rPr>
                <w:b/>
                <w:sz w:val="20"/>
                <w:szCs w:val="20"/>
              </w:rPr>
              <w:t>local wheelchair and s</w:t>
            </w:r>
            <w:r w:rsidR="0003177F" w:rsidRPr="00947125">
              <w:rPr>
                <w:b/>
                <w:sz w:val="20"/>
                <w:szCs w:val="20"/>
              </w:rPr>
              <w:t>eating assessment service</w:t>
            </w:r>
          </w:p>
          <w:p w14:paraId="74D97A3B" w14:textId="77777777" w:rsidR="00B93A42" w:rsidRPr="00947125" w:rsidRDefault="00B93A42" w:rsidP="004275A0">
            <w:pPr>
              <w:rPr>
                <w:b/>
                <w:sz w:val="20"/>
                <w:szCs w:val="20"/>
              </w:rPr>
            </w:pPr>
          </w:p>
          <w:p w14:paraId="56330FA2" w14:textId="77777777" w:rsidR="004275A0" w:rsidRPr="00947125" w:rsidRDefault="004275A0" w:rsidP="0094712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Referral to </w:t>
            </w:r>
            <w:r w:rsidR="00C228FF" w:rsidRPr="00947125">
              <w:rPr>
                <w:sz w:val="20"/>
                <w:szCs w:val="20"/>
              </w:rPr>
              <w:t>wheelchair assessment service</w:t>
            </w:r>
          </w:p>
          <w:p w14:paraId="7FEBB0C2" w14:textId="77777777" w:rsidR="00F319B1" w:rsidRDefault="004275A0" w:rsidP="004275A0">
            <w:pPr>
              <w:numPr>
                <w:ilvl w:val="0"/>
                <w:numId w:val="11"/>
              </w:numPr>
              <w:ind w:left="346" w:hanging="346"/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Full collaboration throughout the process due to the knowledge and relationships with the family/whanau as principal therapist </w:t>
            </w:r>
            <w:r w:rsidR="00D5342A">
              <w:rPr>
                <w:sz w:val="20"/>
                <w:szCs w:val="20"/>
              </w:rPr>
              <w:t xml:space="preserve">for </w:t>
            </w:r>
            <w:r w:rsidRPr="00947125">
              <w:rPr>
                <w:sz w:val="20"/>
                <w:szCs w:val="20"/>
              </w:rPr>
              <w:t>the student.</w:t>
            </w:r>
          </w:p>
          <w:p w14:paraId="0FE90CCC" w14:textId="77777777" w:rsidR="00B93A42" w:rsidRPr="00B93A42" w:rsidRDefault="00B93A42" w:rsidP="00B93A42">
            <w:pPr>
              <w:ind w:left="346"/>
              <w:rPr>
                <w:sz w:val="20"/>
                <w:szCs w:val="20"/>
              </w:rPr>
            </w:pPr>
          </w:p>
          <w:p w14:paraId="7A9CAD92" w14:textId="77777777" w:rsidR="00F319B1" w:rsidRPr="00947125" w:rsidRDefault="00F319B1" w:rsidP="004275A0">
            <w:pPr>
              <w:rPr>
                <w:b/>
                <w:sz w:val="20"/>
                <w:szCs w:val="20"/>
                <w:u w:val="single"/>
              </w:rPr>
            </w:pPr>
          </w:p>
          <w:p w14:paraId="67BBB478" w14:textId="77777777" w:rsidR="004275A0" w:rsidRPr="00947125" w:rsidRDefault="004275A0" w:rsidP="004275A0">
            <w:pPr>
              <w:rPr>
                <w:b/>
                <w:sz w:val="20"/>
                <w:szCs w:val="20"/>
                <w:u w:val="single"/>
              </w:rPr>
            </w:pPr>
            <w:r w:rsidRPr="00947125">
              <w:rPr>
                <w:b/>
                <w:sz w:val="20"/>
                <w:szCs w:val="20"/>
                <w:u w:val="single"/>
              </w:rPr>
              <w:t>Monitor and  ongoing review and “tweaking” to meet changing needs:</w:t>
            </w:r>
          </w:p>
          <w:p w14:paraId="2707584E" w14:textId="77777777" w:rsidR="004275A0" w:rsidRPr="00947125" w:rsidRDefault="004275A0" w:rsidP="004275A0">
            <w:pPr>
              <w:rPr>
                <w:b/>
                <w:sz w:val="20"/>
                <w:szCs w:val="20"/>
              </w:rPr>
            </w:pPr>
          </w:p>
          <w:p w14:paraId="5FD373B6" w14:textId="77777777" w:rsidR="004275A0" w:rsidRPr="00947125" w:rsidRDefault="004275A0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 xml:space="preserve">Completed by </w:t>
            </w:r>
            <w:r w:rsidR="00B93A42">
              <w:rPr>
                <w:sz w:val="20"/>
                <w:szCs w:val="20"/>
              </w:rPr>
              <w:t>Ministry of Education</w:t>
            </w:r>
            <w:r w:rsidR="00B93A42" w:rsidRPr="001378E3">
              <w:rPr>
                <w:sz w:val="20"/>
                <w:szCs w:val="20"/>
              </w:rPr>
              <w:t xml:space="preserve"> </w:t>
            </w:r>
            <w:r w:rsidR="00B93A42">
              <w:rPr>
                <w:sz w:val="20"/>
                <w:szCs w:val="20"/>
              </w:rPr>
              <w:t xml:space="preserve">Special Education EMS Assessor </w:t>
            </w:r>
            <w:r w:rsidR="00F319B1" w:rsidRPr="00947125">
              <w:rPr>
                <w:sz w:val="20"/>
                <w:szCs w:val="20"/>
              </w:rPr>
              <w:t>– adjustments made only if th</w:t>
            </w:r>
            <w:r w:rsidR="00D5342A">
              <w:rPr>
                <w:sz w:val="20"/>
                <w:szCs w:val="20"/>
              </w:rPr>
              <w:t>e</w:t>
            </w:r>
            <w:r w:rsidR="00F319B1" w:rsidRPr="00947125">
              <w:rPr>
                <w:sz w:val="20"/>
                <w:szCs w:val="20"/>
              </w:rPr>
              <w:t>y have been part of the collaborative assessment process and understand the clinical reasoning and decisions made. Adjustments would be made to ensure comfort and safety prior to referral to:</w:t>
            </w:r>
          </w:p>
          <w:p w14:paraId="4E0B02FB" w14:textId="77777777" w:rsidR="00B93A42" w:rsidRDefault="00B93A42" w:rsidP="004275A0">
            <w:pPr>
              <w:rPr>
                <w:sz w:val="20"/>
                <w:szCs w:val="20"/>
              </w:rPr>
            </w:pPr>
          </w:p>
          <w:p w14:paraId="177E2650" w14:textId="77777777" w:rsidR="00B93A42" w:rsidRPr="00917F4E" w:rsidRDefault="005668CC" w:rsidP="004275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Enable </w:t>
            </w:r>
            <w:r w:rsidR="00B93A42">
              <w:rPr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>/ Accessable contracted technician services</w:t>
            </w:r>
            <w:r w:rsidR="004275A0" w:rsidRPr="00947125">
              <w:rPr>
                <w:sz w:val="20"/>
                <w:szCs w:val="20"/>
              </w:rPr>
              <w:t xml:space="preserve"> for support</w:t>
            </w:r>
            <w:r w:rsidR="00917F4E">
              <w:rPr>
                <w:sz w:val="20"/>
                <w:szCs w:val="20"/>
              </w:rPr>
              <w:t xml:space="preserve">; </w:t>
            </w:r>
            <w:r w:rsidR="004275A0" w:rsidRPr="00947125">
              <w:rPr>
                <w:b/>
                <w:sz w:val="20"/>
                <w:szCs w:val="20"/>
              </w:rPr>
              <w:t>OR</w:t>
            </w:r>
          </w:p>
          <w:p w14:paraId="5D907758" w14:textId="77777777" w:rsidR="00B93A42" w:rsidRDefault="00ED6CEC" w:rsidP="004275A0">
            <w:pPr>
              <w:rPr>
                <w:b/>
                <w:sz w:val="20"/>
                <w:szCs w:val="20"/>
              </w:rPr>
            </w:pPr>
            <w:r w:rsidRPr="00947125">
              <w:rPr>
                <w:b/>
                <w:sz w:val="20"/>
                <w:szCs w:val="20"/>
              </w:rPr>
              <w:t xml:space="preserve"> </w:t>
            </w:r>
          </w:p>
          <w:p w14:paraId="0A3F5239" w14:textId="77777777" w:rsidR="004275A0" w:rsidRPr="00947125" w:rsidRDefault="00ED6CEC" w:rsidP="004275A0">
            <w:pPr>
              <w:rPr>
                <w:sz w:val="20"/>
                <w:szCs w:val="20"/>
              </w:rPr>
            </w:pPr>
            <w:r w:rsidRPr="00947125">
              <w:rPr>
                <w:sz w:val="20"/>
                <w:szCs w:val="20"/>
              </w:rPr>
              <w:t>if significant changes</w:t>
            </w:r>
            <w:r w:rsidRPr="00947125">
              <w:rPr>
                <w:b/>
                <w:sz w:val="20"/>
                <w:szCs w:val="20"/>
              </w:rPr>
              <w:t xml:space="preserve"> </w:t>
            </w:r>
            <w:r w:rsidR="00C850B8" w:rsidRPr="00947125">
              <w:rPr>
                <w:sz w:val="20"/>
                <w:szCs w:val="20"/>
              </w:rPr>
              <w:t>refer back</w:t>
            </w:r>
            <w:r w:rsidR="004275A0" w:rsidRPr="00947125">
              <w:rPr>
                <w:sz w:val="20"/>
                <w:szCs w:val="20"/>
              </w:rPr>
              <w:t xml:space="preserve"> to </w:t>
            </w:r>
            <w:r w:rsidR="005668CC">
              <w:rPr>
                <w:sz w:val="20"/>
                <w:szCs w:val="20"/>
              </w:rPr>
              <w:t xml:space="preserve">Level 2 </w:t>
            </w:r>
            <w:r w:rsidR="00C228FF" w:rsidRPr="00947125">
              <w:rPr>
                <w:sz w:val="20"/>
                <w:szCs w:val="20"/>
              </w:rPr>
              <w:t>wheelchair and seating assessment service</w:t>
            </w:r>
          </w:p>
          <w:p w14:paraId="3A4213B9" w14:textId="77777777" w:rsidR="004275A0" w:rsidRPr="00947125" w:rsidRDefault="004275A0" w:rsidP="004275A0">
            <w:pPr>
              <w:rPr>
                <w:sz w:val="20"/>
                <w:szCs w:val="20"/>
              </w:rPr>
            </w:pPr>
          </w:p>
        </w:tc>
      </w:tr>
    </w:tbl>
    <w:p w14:paraId="30245FF1" w14:textId="77777777" w:rsidR="00E50C3B" w:rsidRPr="00ED6CEC" w:rsidRDefault="00E50C3B" w:rsidP="00917F4E">
      <w:pPr>
        <w:rPr>
          <w:b/>
          <w:sz w:val="20"/>
          <w:szCs w:val="20"/>
        </w:rPr>
      </w:pPr>
    </w:p>
    <w:sectPr w:rsidR="00E50C3B" w:rsidRPr="00ED6CEC" w:rsidSect="00917F4E">
      <w:headerReference w:type="first" r:id="rId11"/>
      <w:pgSz w:w="16838" w:h="11906" w:orient="landscape"/>
      <w:pgMar w:top="539" w:right="1440" w:bottom="179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5CA50" w14:textId="77777777" w:rsidR="00B56CB0" w:rsidRDefault="00B56CB0" w:rsidP="00B93A42">
      <w:r>
        <w:separator/>
      </w:r>
    </w:p>
  </w:endnote>
  <w:endnote w:type="continuationSeparator" w:id="0">
    <w:p w14:paraId="62571435" w14:textId="77777777" w:rsidR="00B56CB0" w:rsidRDefault="00B56CB0" w:rsidP="00B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15BBE" w14:textId="77777777" w:rsidR="00B56CB0" w:rsidRDefault="00B56CB0" w:rsidP="00B93A42">
      <w:r>
        <w:separator/>
      </w:r>
    </w:p>
  </w:footnote>
  <w:footnote w:type="continuationSeparator" w:id="0">
    <w:p w14:paraId="56F64C2F" w14:textId="77777777" w:rsidR="00B56CB0" w:rsidRDefault="00B56CB0" w:rsidP="00B9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D9A06" w14:textId="53A95C3F" w:rsidR="00917F4E" w:rsidRDefault="00687455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AB08C2" wp14:editId="5A85A21F">
          <wp:simplePos x="0" y="0"/>
          <wp:positionH relativeFrom="column">
            <wp:posOffset>-6350</wp:posOffset>
          </wp:positionH>
          <wp:positionV relativeFrom="paragraph">
            <wp:posOffset>-180340</wp:posOffset>
          </wp:positionV>
          <wp:extent cx="8858250" cy="982345"/>
          <wp:effectExtent l="0" t="0" r="0" b="0"/>
          <wp:wrapNone/>
          <wp:docPr id="1" name="Picture 1" descr="DSS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3" t="12344" b="18350"/>
                  <a:stretch>
                    <a:fillRect/>
                  </a:stretch>
                </pic:blipFill>
                <pic:spPr bwMode="auto">
                  <a:xfrm>
                    <a:off x="0" y="0"/>
                    <a:ext cx="8858250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3A2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B4A7E"/>
    <w:multiLevelType w:val="hybridMultilevel"/>
    <w:tmpl w:val="26BE90BE"/>
    <w:lvl w:ilvl="0" w:tplc="459E1308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F77"/>
    <w:multiLevelType w:val="multilevel"/>
    <w:tmpl w:val="897852FA"/>
    <w:lvl w:ilvl="0">
      <w:start w:val="1"/>
      <w:numFmt w:val="decimal"/>
      <w:pStyle w:val="ListPara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126"/>
        </w:tabs>
        <w:ind w:left="2126" w:hanging="425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" w15:restartNumberingAfterBreak="0">
    <w:nsid w:val="0E587BAB"/>
    <w:multiLevelType w:val="hybridMultilevel"/>
    <w:tmpl w:val="A09ABA36"/>
    <w:lvl w:ilvl="0" w:tplc="459E1308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741FF"/>
    <w:multiLevelType w:val="hybridMultilevel"/>
    <w:tmpl w:val="481A8272"/>
    <w:lvl w:ilvl="0" w:tplc="459E1308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A0C53"/>
    <w:multiLevelType w:val="multilevel"/>
    <w:tmpl w:val="FFB08EFA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CB80C95"/>
    <w:multiLevelType w:val="multilevel"/>
    <w:tmpl w:val="84D6A60C"/>
    <w:lvl w:ilvl="0">
      <w:start w:val="1"/>
      <w:numFmt w:val="decimal"/>
      <w:pStyle w:val="ParaNumbered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lowerLetter"/>
      <w:lvlText w:val="%2"/>
      <w:lvlJc w:val="left"/>
      <w:pPr>
        <w:tabs>
          <w:tab w:val="num" w:pos="851"/>
        </w:tabs>
        <w:ind w:left="851" w:hanging="426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276" w:hanging="425"/>
      </w:p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/>
      </w:rPr>
    </w:lvl>
    <w:lvl w:ilvl="4">
      <w:start w:val="1"/>
      <w:numFmt w:val="lowerLetter"/>
      <w:lvlText w:val="%5"/>
      <w:lvlJc w:val="left"/>
      <w:pPr>
        <w:tabs>
          <w:tab w:val="num" w:pos="2835"/>
        </w:tabs>
        <w:ind w:left="2835" w:hanging="567"/>
      </w:pPr>
      <w:rPr>
        <w:b w:val="0"/>
        <w:i/>
      </w:rPr>
    </w:lvl>
    <w:lvl w:ilvl="5">
      <w:start w:val="1"/>
      <w:numFmt w:val="lowerRoman"/>
      <w:lvlText w:val="%6"/>
      <w:lvlJc w:val="left"/>
      <w:pPr>
        <w:tabs>
          <w:tab w:val="num" w:pos="3402"/>
        </w:tabs>
        <w:ind w:left="3402" w:hanging="567"/>
      </w:pPr>
      <w:rPr>
        <w:b w:val="0"/>
        <w:i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42C008BA"/>
    <w:multiLevelType w:val="hybridMultilevel"/>
    <w:tmpl w:val="E4B463A0"/>
    <w:lvl w:ilvl="0" w:tplc="459E1308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A0614"/>
    <w:multiLevelType w:val="singleLevel"/>
    <w:tmpl w:val="E08634DA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A50994"/>
    <w:multiLevelType w:val="hybridMultilevel"/>
    <w:tmpl w:val="67082A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119A8"/>
    <w:multiLevelType w:val="hybridMultilevel"/>
    <w:tmpl w:val="87E4AFAC"/>
    <w:lvl w:ilvl="0" w:tplc="459E1308">
      <w:start w:val="1"/>
      <w:numFmt w:val="bullet"/>
      <w:lvlText w:val=""/>
      <w:lvlJc w:val="left"/>
      <w:pPr>
        <w:tabs>
          <w:tab w:val="num" w:pos="340"/>
        </w:tabs>
        <w:ind w:left="0" w:firstLine="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4190"/>
    <w:multiLevelType w:val="multilevel"/>
    <w:tmpl w:val="B43AB6BA"/>
    <w:lvl w:ilvl="0">
      <w:start w:val="1"/>
      <w:numFmt w:val="bullet"/>
      <w:pStyle w:val="Para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785"/>
        </w:tabs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1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A0"/>
    <w:rsid w:val="00027FC5"/>
    <w:rsid w:val="0003177F"/>
    <w:rsid w:val="000C40B1"/>
    <w:rsid w:val="000F6EC4"/>
    <w:rsid w:val="00100CC1"/>
    <w:rsid w:val="00116257"/>
    <w:rsid w:val="001378E3"/>
    <w:rsid w:val="0016202D"/>
    <w:rsid w:val="001B6FA5"/>
    <w:rsid w:val="002051FF"/>
    <w:rsid w:val="002B49E7"/>
    <w:rsid w:val="00322AB3"/>
    <w:rsid w:val="0037513B"/>
    <w:rsid w:val="003B5112"/>
    <w:rsid w:val="003F14F5"/>
    <w:rsid w:val="004275A0"/>
    <w:rsid w:val="00441511"/>
    <w:rsid w:val="00454550"/>
    <w:rsid w:val="004A6182"/>
    <w:rsid w:val="004E2E9B"/>
    <w:rsid w:val="00537E4D"/>
    <w:rsid w:val="005668CC"/>
    <w:rsid w:val="00687455"/>
    <w:rsid w:val="006F3315"/>
    <w:rsid w:val="00724E3D"/>
    <w:rsid w:val="007E238B"/>
    <w:rsid w:val="009165A1"/>
    <w:rsid w:val="00917F4E"/>
    <w:rsid w:val="00924681"/>
    <w:rsid w:val="00947125"/>
    <w:rsid w:val="00955CF8"/>
    <w:rsid w:val="009C7BF0"/>
    <w:rsid w:val="00A41401"/>
    <w:rsid w:val="00AA3066"/>
    <w:rsid w:val="00B03FB0"/>
    <w:rsid w:val="00B56CB0"/>
    <w:rsid w:val="00B93A42"/>
    <w:rsid w:val="00BD7321"/>
    <w:rsid w:val="00C228FF"/>
    <w:rsid w:val="00C46553"/>
    <w:rsid w:val="00C678D2"/>
    <w:rsid w:val="00C850B8"/>
    <w:rsid w:val="00C94F2A"/>
    <w:rsid w:val="00D453D2"/>
    <w:rsid w:val="00D5342A"/>
    <w:rsid w:val="00D72786"/>
    <w:rsid w:val="00D912B0"/>
    <w:rsid w:val="00DF20D6"/>
    <w:rsid w:val="00E50C3B"/>
    <w:rsid w:val="00ED6CEC"/>
    <w:rsid w:val="00F05F17"/>
    <w:rsid w:val="00F207FF"/>
    <w:rsid w:val="00F319B1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  <w14:docId w14:val="4D0ED5CF"/>
  <w15:chartTrackingRefBased/>
  <w15:docId w15:val="{E1A6EB33-1B7D-420B-8477-DF201942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5A0"/>
    <w:rPr>
      <w:rFonts w:ascii="Tahoma" w:hAnsi="Tahoma"/>
      <w:sz w:val="24"/>
      <w:szCs w:val="24"/>
      <w:lang w:val="en-AU" w:eastAsia="en-US"/>
    </w:rPr>
  </w:style>
  <w:style w:type="paragraph" w:styleId="Heading1">
    <w:name w:val="heading 1"/>
    <w:basedOn w:val="Normal"/>
    <w:next w:val="BodyText"/>
    <w:qFormat/>
    <w:rsid w:val="001B6FA5"/>
    <w:pPr>
      <w:keepNext/>
      <w:spacing w:before="60" w:line="280" w:lineRule="exact"/>
      <w:outlineLvl w:val="0"/>
    </w:pPr>
    <w:rPr>
      <w:rFonts w:ascii="Arial" w:hAnsi="Arial"/>
      <w:b/>
      <w:sz w:val="26"/>
      <w:szCs w:val="20"/>
      <w:lang w:val="en-NZ"/>
    </w:rPr>
  </w:style>
  <w:style w:type="paragraph" w:styleId="Heading2">
    <w:name w:val="heading 2"/>
    <w:basedOn w:val="Normal"/>
    <w:next w:val="BodyText"/>
    <w:qFormat/>
    <w:rsid w:val="001B6FA5"/>
    <w:pPr>
      <w:keepNext/>
      <w:spacing w:before="60" w:line="280" w:lineRule="atLeast"/>
      <w:outlineLvl w:val="1"/>
    </w:pPr>
    <w:rPr>
      <w:rFonts w:ascii="Arial" w:hAnsi="Arial"/>
      <w:b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rsid w:val="001B6FA5"/>
    <w:pPr>
      <w:keepNext/>
      <w:spacing w:before="60" w:line="280" w:lineRule="exact"/>
      <w:outlineLvl w:val="2"/>
    </w:pPr>
    <w:rPr>
      <w:rFonts w:ascii="Arial" w:hAnsi="Arial"/>
      <w:b/>
      <w:i/>
      <w:sz w:val="22"/>
      <w:szCs w:val="20"/>
      <w:lang w:val="en-NZ"/>
    </w:rPr>
  </w:style>
  <w:style w:type="paragraph" w:styleId="Heading4">
    <w:name w:val="heading 4"/>
    <w:basedOn w:val="Normal"/>
    <w:next w:val="Normal"/>
    <w:qFormat/>
    <w:rsid w:val="001B6FA5"/>
    <w:pPr>
      <w:keepNext/>
      <w:spacing w:before="60" w:line="280" w:lineRule="exact"/>
      <w:outlineLvl w:val="3"/>
    </w:pPr>
    <w:rPr>
      <w:b/>
      <w:szCs w:val="2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B6FA5"/>
    <w:pPr>
      <w:spacing w:before="60" w:after="220" w:line="280" w:lineRule="exact"/>
    </w:pPr>
    <w:rPr>
      <w:rFonts w:ascii="Arial" w:hAnsi="Arial"/>
      <w:szCs w:val="20"/>
      <w:lang w:val="en-NZ"/>
    </w:rPr>
  </w:style>
  <w:style w:type="paragraph" w:styleId="PlainText">
    <w:name w:val="Plain Text"/>
    <w:basedOn w:val="Normal"/>
    <w:rsid w:val="001B6FA5"/>
    <w:pPr>
      <w:tabs>
        <w:tab w:val="left" w:pos="425"/>
      </w:tabs>
      <w:spacing w:after="240" w:line="320" w:lineRule="exact"/>
    </w:pPr>
    <w:rPr>
      <w:szCs w:val="20"/>
      <w:lang w:val="en-NZ"/>
    </w:rPr>
  </w:style>
  <w:style w:type="paragraph" w:customStyle="1" w:styleId="Bullet">
    <w:name w:val="Bullet"/>
    <w:basedOn w:val="PlainText"/>
    <w:rsid w:val="001B6FA5"/>
    <w:pPr>
      <w:numPr>
        <w:numId w:val="1"/>
      </w:numPr>
      <w:tabs>
        <w:tab w:val="clear" w:pos="360"/>
      </w:tabs>
      <w:spacing w:after="0"/>
      <w:ind w:left="425" w:hanging="425"/>
    </w:pPr>
  </w:style>
  <w:style w:type="paragraph" w:customStyle="1" w:styleId="Bulletspace">
    <w:name w:val="Bullet+space"/>
    <w:basedOn w:val="Bullet"/>
    <w:rsid w:val="001B6FA5"/>
    <w:pPr>
      <w:numPr>
        <w:numId w:val="0"/>
      </w:numPr>
      <w:spacing w:after="240"/>
      <w:ind w:left="425" w:hanging="425"/>
    </w:pPr>
  </w:style>
  <w:style w:type="character" w:styleId="CommentReference">
    <w:name w:val="annotation reference"/>
    <w:basedOn w:val="DefaultParagraphFont"/>
    <w:semiHidden/>
    <w:rsid w:val="001B6FA5"/>
    <w:rPr>
      <w:sz w:val="16"/>
      <w:szCs w:val="16"/>
    </w:rPr>
  </w:style>
  <w:style w:type="character" w:styleId="FollowedHyperlink">
    <w:name w:val="FollowedHyperlink"/>
    <w:basedOn w:val="DefaultParagraphFont"/>
    <w:rsid w:val="001B6FA5"/>
    <w:rPr>
      <w:color w:val="800080"/>
      <w:u w:val="single"/>
    </w:rPr>
  </w:style>
  <w:style w:type="paragraph" w:styleId="Footer">
    <w:name w:val="footer"/>
    <w:basedOn w:val="Normal"/>
    <w:next w:val="Normal"/>
    <w:rsid w:val="001B6FA5"/>
    <w:pPr>
      <w:spacing w:line="200" w:lineRule="exact"/>
    </w:pPr>
    <w:rPr>
      <w:rFonts w:ascii="Arial" w:hAnsi="Arial"/>
      <w:sz w:val="15"/>
      <w:szCs w:val="20"/>
      <w:lang w:val="en-NZ"/>
    </w:rPr>
  </w:style>
  <w:style w:type="paragraph" w:styleId="Header">
    <w:name w:val="header"/>
    <w:basedOn w:val="Normal"/>
    <w:rsid w:val="001B6FA5"/>
    <w:pPr>
      <w:tabs>
        <w:tab w:val="center" w:pos="4536"/>
        <w:tab w:val="right" w:pos="9072"/>
      </w:tabs>
      <w:spacing w:line="240" w:lineRule="exact"/>
    </w:pPr>
    <w:rPr>
      <w:sz w:val="16"/>
      <w:szCs w:val="20"/>
      <w:lang w:val="en-NZ"/>
    </w:rPr>
  </w:style>
  <w:style w:type="character" w:styleId="Hyperlink">
    <w:name w:val="Hyperlink"/>
    <w:basedOn w:val="DefaultParagraphFont"/>
    <w:rsid w:val="001B6FA5"/>
    <w:rPr>
      <w:color w:val="0000FF"/>
      <w:u w:val="single"/>
    </w:rPr>
  </w:style>
  <w:style w:type="paragraph" w:styleId="ListBullet">
    <w:name w:val="List Bullet"/>
    <w:basedOn w:val="Normal"/>
    <w:autoRedefine/>
    <w:rsid w:val="001B6FA5"/>
    <w:pPr>
      <w:numPr>
        <w:numId w:val="3"/>
      </w:numPr>
      <w:tabs>
        <w:tab w:val="clear" w:pos="425"/>
      </w:tabs>
      <w:spacing w:line="280" w:lineRule="exact"/>
    </w:pPr>
    <w:rPr>
      <w:szCs w:val="20"/>
      <w:lang w:val="en-NZ"/>
    </w:rPr>
  </w:style>
  <w:style w:type="paragraph" w:customStyle="1" w:styleId="ListPara">
    <w:name w:val="List Para"/>
    <w:basedOn w:val="Normal"/>
    <w:rsid w:val="001B6FA5"/>
    <w:pPr>
      <w:numPr>
        <w:numId w:val="4"/>
      </w:numPr>
      <w:tabs>
        <w:tab w:val="left" w:pos="851"/>
        <w:tab w:val="left" w:pos="1276"/>
      </w:tabs>
      <w:spacing w:line="280" w:lineRule="exact"/>
    </w:pPr>
    <w:rPr>
      <w:szCs w:val="20"/>
      <w:lang w:val="en-NZ"/>
    </w:rPr>
  </w:style>
  <w:style w:type="paragraph" w:customStyle="1" w:styleId="MemoAddresseDetails">
    <w:name w:val="MemoAddresseDetails"/>
    <w:basedOn w:val="Normal"/>
    <w:rsid w:val="001B6FA5"/>
    <w:pPr>
      <w:spacing w:before="60" w:after="60" w:line="280" w:lineRule="exact"/>
    </w:pPr>
    <w:rPr>
      <w:rFonts w:ascii="Arial" w:hAnsi="Arial"/>
      <w:szCs w:val="20"/>
      <w:lang w:val="en-NZ"/>
    </w:rPr>
  </w:style>
  <w:style w:type="paragraph" w:customStyle="1" w:styleId="MemoAddresseePrompts">
    <w:name w:val="MemoAddresseePrompts"/>
    <w:basedOn w:val="Normal"/>
    <w:rsid w:val="001B6FA5"/>
    <w:pPr>
      <w:tabs>
        <w:tab w:val="left" w:pos="5670"/>
      </w:tabs>
      <w:spacing w:before="60" w:after="60" w:line="280" w:lineRule="exact"/>
    </w:pPr>
    <w:rPr>
      <w:rFonts w:ascii="Arial" w:hAnsi="Arial"/>
      <w:b/>
      <w:szCs w:val="20"/>
      <w:lang w:val="en-NZ"/>
    </w:rPr>
  </w:style>
  <w:style w:type="paragraph" w:customStyle="1" w:styleId="ParaBullet">
    <w:name w:val="Para Bullet"/>
    <w:basedOn w:val="Normal"/>
    <w:rsid w:val="001B6FA5"/>
    <w:pPr>
      <w:numPr>
        <w:numId w:val="5"/>
      </w:numPr>
      <w:tabs>
        <w:tab w:val="clear" w:pos="425"/>
      </w:tabs>
      <w:spacing w:before="60" w:after="220" w:line="280" w:lineRule="exact"/>
    </w:pPr>
    <w:rPr>
      <w:szCs w:val="20"/>
      <w:lang w:val="en-NZ"/>
    </w:rPr>
  </w:style>
  <w:style w:type="paragraph" w:customStyle="1" w:styleId="ParaNumbered">
    <w:name w:val="Para Numbered"/>
    <w:basedOn w:val="ParaBullet"/>
    <w:rsid w:val="001B6FA5"/>
    <w:pPr>
      <w:numPr>
        <w:numId w:val="6"/>
      </w:numPr>
    </w:pPr>
  </w:style>
  <w:style w:type="paragraph" w:customStyle="1" w:styleId="Space">
    <w:name w:val="Space"/>
    <w:basedOn w:val="Normal"/>
    <w:rsid w:val="001B6FA5"/>
    <w:pPr>
      <w:spacing w:line="320" w:lineRule="atLeast"/>
    </w:pPr>
    <w:rPr>
      <w:szCs w:val="20"/>
      <w:lang w:val="en-NZ"/>
    </w:rPr>
  </w:style>
  <w:style w:type="paragraph" w:customStyle="1" w:styleId="Subject">
    <w:name w:val="Subject"/>
    <w:basedOn w:val="Normal"/>
    <w:next w:val="PlainText"/>
    <w:rsid w:val="001B6FA5"/>
    <w:pPr>
      <w:spacing w:before="60" w:line="280" w:lineRule="exact"/>
    </w:pPr>
    <w:rPr>
      <w:rFonts w:ascii="Arial" w:hAnsi="Arial"/>
      <w:b/>
      <w:szCs w:val="20"/>
      <w:lang w:val="en-NZ"/>
    </w:rPr>
  </w:style>
  <w:style w:type="character" w:customStyle="1" w:styleId="StyleTahoma">
    <w:name w:val="Style Tahoma"/>
    <w:basedOn w:val="DefaultParagraphFont"/>
    <w:rsid w:val="00C94F2A"/>
    <w:rPr>
      <w:rFonts w:ascii="Tahoma" w:hAnsi="Tahoma"/>
    </w:rPr>
  </w:style>
  <w:style w:type="table" w:styleId="TableGrid">
    <w:name w:val="Table Grid"/>
    <w:basedOn w:val="TableNormal"/>
    <w:rsid w:val="00427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28FF"/>
    <w:rPr>
      <w:rFonts w:cs="Tahoma"/>
      <w:sz w:val="16"/>
      <w:szCs w:val="16"/>
    </w:rPr>
  </w:style>
  <w:style w:type="paragraph" w:styleId="CommentText">
    <w:name w:val="annotation text"/>
    <w:basedOn w:val="Normal"/>
    <w:semiHidden/>
    <w:rsid w:val="004E2E9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2E9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17F4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917F4E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disabilityfunding.co.nz/__data/assets/pdf_file/0006/54681/Competency-Framework-Wheeled-Mobility-and-Postural-Managemen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4B81A8A6-0E95-4A14-9BA2-54B6D3DF3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EE9E5-4EF7-41C3-836F-165B7CF95D23}"/>
</file>

<file path=customXml/itemProps3.xml><?xml version="1.0" encoding="utf-8"?>
<ds:datastoreItem xmlns:ds="http://schemas.openxmlformats.org/officeDocument/2006/customXml" ds:itemID="{4E70D7C3-58CE-48FF-B59B-F7EB06E70A5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c06916e2-d229-4b9d-a9d0-5c7aa50d5292"/>
    <ds:schemaRef ds:uri="http://schemas.microsoft.com/office/infopath/2007/PartnerControls"/>
    <ds:schemaRef ds:uri="ede84268-cce4-49ef-97ee-ebd7f619e66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Previous Level 1 accreditation (MOE SE completes the application)</vt:lpstr>
    </vt:vector>
  </TitlesOfParts>
  <Company>Ministry of Education</Company>
  <LinksUpToDate>false</LinksUpToDate>
  <CharactersWithSpaces>5200</CharactersWithSpaces>
  <SharedDoc>false</SharedDoc>
  <HLinks>
    <vt:vector size="6" baseType="variant">
      <vt:variant>
        <vt:i4>786466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http://www.disabilityfunding.co.nz/__data/assets/pdf_file/0006/54681/Competency-Framework-Wheeled-Mobility-and-Postural-Management.pdf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Previous Level 1 accreditation (MOE SE completes the application)</dc:title>
  <dc:subject/>
  <dc:creator>Andrea Smart</dc:creator>
  <cp:keywords/>
  <cp:lastModifiedBy>Jessica Goggin</cp:lastModifiedBy>
  <cp:revision>2</cp:revision>
  <cp:lastPrinted>2010-11-25T03:29:00Z</cp:lastPrinted>
  <dcterms:created xsi:type="dcterms:W3CDTF">2021-07-02T02:31:00Z</dcterms:created>
  <dcterms:modified xsi:type="dcterms:W3CDTF">2021-07-02T02:31:00Z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